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AE" w:rsidRPr="001700AE" w:rsidRDefault="001700AE" w:rsidP="001700A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180975</wp:posOffset>
                </wp:positionV>
                <wp:extent cx="4143375" cy="4953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0AE" w:rsidRPr="001700AE" w:rsidRDefault="001700AE" w:rsidP="001700AE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1700AE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Service – Learning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00AE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Orientation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5pt;margin-top:14.25pt;width:326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" fillcolor="white [3201]" stroked="f" strokeweight=".5pt">
                <v:textbox>
                  <w:txbxContent>
                    <w:p w:rsidR="001700AE" w:rsidRPr="001700AE" w:rsidRDefault="001700AE" w:rsidP="001700AE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1700AE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Service – Learning</w:t>
                      </w: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700AE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Orientation Checklist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/>
          <w:noProof/>
          <w:sz w:val="24"/>
          <w:szCs w:val="24"/>
        </w:rPr>
        <w:drawing>
          <wp:inline distT="0" distB="0" distL="0" distR="0">
            <wp:extent cx="1752600" cy="75338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LCE Logo - Horizontal FULL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415" cy="75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0AE" w:rsidRPr="00093B15" w:rsidRDefault="001700AE" w:rsidP="001700AE">
      <w:pPr>
        <w:rPr>
          <w:rFonts w:ascii="Garamond" w:hAnsi="Garamond"/>
          <w:b/>
          <w:sz w:val="24"/>
          <w:szCs w:val="24"/>
        </w:rPr>
      </w:pPr>
      <w:r w:rsidRPr="00093B15">
        <w:rPr>
          <w:rFonts w:ascii="Garamond" w:hAnsi="Garamond"/>
          <w:b/>
          <w:sz w:val="24"/>
          <w:szCs w:val="24"/>
        </w:rPr>
        <w:t>Orientation Provided Before First Day of Service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 xml:space="preserve">Mission of </w:t>
      </w:r>
      <w:r w:rsidRPr="001700AE">
        <w:rPr>
          <w:rFonts w:ascii="Garamond" w:hAnsi="Garamond"/>
          <w:sz w:val="24"/>
          <w:szCs w:val="24"/>
        </w:rPr>
        <w:t>the community partner</w:t>
      </w:r>
      <w:r w:rsidRPr="001700AE">
        <w:rPr>
          <w:rFonts w:ascii="Garamond" w:hAnsi="Garamond"/>
          <w:sz w:val="24"/>
          <w:szCs w:val="24"/>
        </w:rPr>
        <w:t>.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 xml:space="preserve">Who are </w:t>
      </w:r>
      <w:r w:rsidRPr="001700AE">
        <w:rPr>
          <w:rFonts w:ascii="Garamond" w:hAnsi="Garamond"/>
          <w:sz w:val="24"/>
          <w:szCs w:val="24"/>
        </w:rPr>
        <w:t>the clients of the community partner</w:t>
      </w:r>
      <w:r w:rsidRPr="001700AE">
        <w:rPr>
          <w:rFonts w:ascii="Garamond" w:hAnsi="Garamond"/>
          <w:sz w:val="24"/>
          <w:szCs w:val="24"/>
        </w:rPr>
        <w:t>?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What program</w:t>
      </w:r>
      <w:r w:rsidRPr="001700AE">
        <w:rPr>
          <w:rFonts w:ascii="Garamond" w:hAnsi="Garamond"/>
          <w:sz w:val="24"/>
          <w:szCs w:val="24"/>
        </w:rPr>
        <w:t>s/service does the community partner</w:t>
      </w:r>
      <w:r w:rsidRPr="001700AE">
        <w:rPr>
          <w:rFonts w:ascii="Garamond" w:hAnsi="Garamond"/>
          <w:sz w:val="24"/>
          <w:szCs w:val="24"/>
        </w:rPr>
        <w:t xml:space="preserve"> offer?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Specific policies and procedures related to the service placement.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Review any proof of eligibility that is needed (fingerprinting, background check).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Who will cover the cost? Where should students go to have fingerprinting done?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Provide students a job description detailing the work they will do (outlines scope of work).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Explain the types of activities that are “outside” the scope of work.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Give the students their site supervisor’s contact information.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How closely will the students be supervised? By whom?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Who do the students call if they cannot make their scheduled service, or will be late?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Discuss appropriate attire when providing</w:t>
      </w:r>
      <w:r w:rsidRPr="001700AE">
        <w:rPr>
          <w:rFonts w:ascii="Garamond" w:hAnsi="Garamond"/>
          <w:sz w:val="24"/>
          <w:szCs w:val="24"/>
        </w:rPr>
        <w:t xml:space="preserve"> service (based on community partner</w:t>
      </w:r>
      <w:r w:rsidRPr="001700AE">
        <w:rPr>
          <w:rFonts w:ascii="Garamond" w:hAnsi="Garamond"/>
          <w:sz w:val="24"/>
          <w:szCs w:val="24"/>
        </w:rPr>
        <w:t>’s standards).</w:t>
      </w:r>
      <w:bookmarkStart w:id="0" w:name="_GoBack"/>
      <w:bookmarkEnd w:id="0"/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Provide specific training for the position.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What will the students learn? What qualities or skills will the students develop?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Review confidentiality rules for the site. Are pictures or video allowed?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Review the risks associated with this placement.</w:t>
      </w:r>
    </w:p>
    <w:p w:rsidR="001700AE" w:rsidRPr="001700AE" w:rsidRDefault="001700AE" w:rsidP="00AF3431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 xml:space="preserve">Explain what students should do if harassment occurs. Whom do they </w:t>
      </w:r>
      <w:r w:rsidRPr="001700AE">
        <w:rPr>
          <w:rFonts w:ascii="Garamond" w:hAnsi="Garamond"/>
          <w:sz w:val="24"/>
          <w:szCs w:val="24"/>
        </w:rPr>
        <w:t>contact?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Talk about service schedule (total number of hours, days and times of the week, etc.). Also discuss beginning</w:t>
      </w:r>
      <w:r w:rsidRPr="001700AE">
        <w:rPr>
          <w:rFonts w:ascii="Garamond" w:hAnsi="Garamond"/>
          <w:sz w:val="24"/>
          <w:szCs w:val="24"/>
        </w:rPr>
        <w:t xml:space="preserve"> </w:t>
      </w:r>
      <w:r w:rsidRPr="001700AE">
        <w:rPr>
          <w:rFonts w:ascii="Garamond" w:hAnsi="Garamond"/>
          <w:sz w:val="24"/>
          <w:szCs w:val="24"/>
        </w:rPr>
        <w:t>and end of service. Students should not volunteer outside of scheduled hours until requirement is complete.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Where do students check in at the site on their first day?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 xml:space="preserve">How are students’ service hours recorded? </w:t>
      </w:r>
    </w:p>
    <w:p w:rsidR="001700AE" w:rsidRPr="00093B15" w:rsidRDefault="001700AE" w:rsidP="001700AE">
      <w:pPr>
        <w:rPr>
          <w:rFonts w:ascii="Garamond" w:hAnsi="Garamond"/>
          <w:b/>
          <w:sz w:val="24"/>
          <w:szCs w:val="24"/>
        </w:rPr>
      </w:pPr>
      <w:r w:rsidRPr="00093B15">
        <w:rPr>
          <w:rFonts w:ascii="Garamond" w:hAnsi="Garamond"/>
          <w:b/>
          <w:sz w:val="24"/>
          <w:szCs w:val="24"/>
        </w:rPr>
        <w:t>Site-Specific Information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Tour of site—location of restroom and break room.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Where, and with whom, do students check in each time they arrive at the site?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Where is the logbook kept (to record service hours)?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Review safety rules of the site, location of emergency exits, and emergency procedures.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Introduce students to other staff at the agency.</w:t>
      </w:r>
    </w:p>
    <w:p w:rsidR="001700AE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Emergency Contact Information.</w:t>
      </w:r>
    </w:p>
    <w:p w:rsidR="001A288A" w:rsidRPr="001700AE" w:rsidRDefault="001700AE" w:rsidP="001700A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700AE">
        <w:rPr>
          <w:rFonts w:ascii="Garamond" w:hAnsi="Garamond"/>
          <w:sz w:val="24"/>
          <w:szCs w:val="24"/>
        </w:rPr>
        <w:t>Review accident procedures at the site and what to do if a student or client is hurt.</w:t>
      </w:r>
    </w:p>
    <w:sectPr w:rsidR="001A288A" w:rsidRPr="001700AE" w:rsidSect="001700A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25088"/>
    <w:multiLevelType w:val="hybridMultilevel"/>
    <w:tmpl w:val="E1306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AE"/>
    <w:rsid w:val="00093B15"/>
    <w:rsid w:val="001700AE"/>
    <w:rsid w:val="007C5E5A"/>
    <w:rsid w:val="00A7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FD402-996E-4A2B-86DD-75C47EC9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Wills, Alexandra</dc:creator>
  <cp:keywords/>
  <dc:description/>
  <cp:lastModifiedBy>Wills, Alexandra</cp:lastModifiedBy>
  <cp:revision>1</cp:revision>
  <dcterms:created xsi:type="dcterms:W3CDTF">2015-06-26T16:15:00Z</dcterms:created>
  <dcterms:modified xsi:type="dcterms:W3CDTF">2015-06-26T16:29:00Z</dcterms:modified>
</cp:coreProperties>
</file>